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06" w:rsidRDefault="008D6406" w:rsidP="003925E5">
      <w:pPr>
        <w:rPr>
          <w:noProof/>
        </w:rPr>
      </w:pPr>
    </w:p>
    <w:p w:rsidR="008D6406" w:rsidRDefault="003925E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D6406" w:rsidRDefault="003925E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D6406" w:rsidRDefault="003925E5">
      <w:pPr>
        <w:jc w:val="center"/>
        <w:rPr>
          <w:noProof/>
          <w:sz w:val="24"/>
        </w:rPr>
      </w:pPr>
      <w:r>
        <w:rPr>
          <w:noProof/>
          <w:sz w:val="24"/>
        </w:rPr>
        <w:t>c 01.02.2022 по 28.02.2022</w:t>
      </w:r>
    </w:p>
    <w:p w:rsidR="008D6406" w:rsidRDefault="008D6406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D6406" w:rsidTr="003925E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  <w:p w:rsidR="008D6406" w:rsidRDefault="003925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D6406" w:rsidTr="003925E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D6406" w:rsidTr="003925E5">
        <w:trPr>
          <w:cantSplit/>
        </w:trPr>
        <w:tc>
          <w:tcPr>
            <w:tcW w:w="284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D6406" w:rsidRDefault="003925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D6406" w:rsidTr="003925E5">
        <w:trPr>
          <w:cantSplit/>
        </w:trPr>
        <w:tc>
          <w:tcPr>
            <w:tcW w:w="284" w:type="dxa"/>
          </w:tcPr>
          <w:p w:rsidR="008D6406" w:rsidRDefault="008D64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D6406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D6406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D6406" w:rsidRDefault="008D6406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камер.контроля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Default="003925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3925E5" w:rsidRDefault="00192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925E5" w:rsidRDefault="003925E5">
            <w:pPr>
              <w:jc w:val="right"/>
              <w:rPr>
                <w:noProof/>
                <w:sz w:val="18"/>
              </w:rPr>
            </w:pPr>
          </w:p>
        </w:tc>
      </w:tr>
      <w:tr w:rsidR="003925E5" w:rsidTr="003925E5">
        <w:trPr>
          <w:cantSplit/>
        </w:trPr>
        <w:tc>
          <w:tcPr>
            <w:tcW w:w="284" w:type="dxa"/>
          </w:tcPr>
          <w:p w:rsidR="003925E5" w:rsidRDefault="003925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925E5" w:rsidRPr="003925E5" w:rsidRDefault="003925E5">
            <w:pPr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85</w:t>
            </w:r>
          </w:p>
        </w:tc>
        <w:tc>
          <w:tcPr>
            <w:tcW w:w="708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176</w:t>
            </w:r>
          </w:p>
        </w:tc>
        <w:tc>
          <w:tcPr>
            <w:tcW w:w="851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261</w:t>
            </w:r>
          </w:p>
        </w:tc>
        <w:tc>
          <w:tcPr>
            <w:tcW w:w="850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129</w:t>
            </w:r>
          </w:p>
        </w:tc>
        <w:tc>
          <w:tcPr>
            <w:tcW w:w="850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104</w:t>
            </w:r>
          </w:p>
        </w:tc>
        <w:tc>
          <w:tcPr>
            <w:tcW w:w="709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3925E5" w:rsidRPr="003925E5" w:rsidRDefault="0019245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79</w:t>
            </w:r>
          </w:p>
        </w:tc>
        <w:tc>
          <w:tcPr>
            <w:tcW w:w="992" w:type="dxa"/>
            <w:gridSpan w:val="2"/>
          </w:tcPr>
          <w:p w:rsidR="003925E5" w:rsidRPr="003925E5" w:rsidRDefault="003925E5">
            <w:pPr>
              <w:jc w:val="right"/>
              <w:rPr>
                <w:b/>
                <w:noProof/>
                <w:sz w:val="18"/>
              </w:rPr>
            </w:pPr>
            <w:r w:rsidRPr="003925E5">
              <w:rPr>
                <w:b/>
                <w:noProof/>
                <w:sz w:val="18"/>
              </w:rPr>
              <w:t>3</w:t>
            </w:r>
          </w:p>
        </w:tc>
      </w:tr>
    </w:tbl>
    <w:p w:rsidR="008D6406" w:rsidRDefault="008D6406">
      <w:pPr>
        <w:rPr>
          <w:noProof/>
        </w:rPr>
      </w:pPr>
    </w:p>
    <w:p w:rsidR="008D6406" w:rsidRDefault="008D6406">
      <w:pPr>
        <w:rPr>
          <w:noProof/>
        </w:rPr>
      </w:pPr>
    </w:p>
    <w:p w:rsidR="008D6406" w:rsidRDefault="008D6406">
      <w:pPr>
        <w:rPr>
          <w:noProof/>
        </w:rPr>
      </w:pPr>
    </w:p>
    <w:p w:rsidR="003925E5" w:rsidRDefault="003925E5">
      <w:pPr>
        <w:rPr>
          <w:noProof/>
        </w:rPr>
      </w:pPr>
      <w:r>
        <w:rPr>
          <w:noProof/>
          <w:sz w:val="24"/>
        </w:rPr>
        <w:tab/>
        <w:t xml:space="preserve"> </w:t>
      </w:r>
    </w:p>
    <w:sectPr w:rsidR="003925E5" w:rsidSect="008D640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25E5"/>
    <w:rsid w:val="00192456"/>
    <w:rsid w:val="003925E5"/>
    <w:rsid w:val="008D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06"/>
  </w:style>
  <w:style w:type="paragraph" w:styleId="1">
    <w:name w:val="heading 1"/>
    <w:basedOn w:val="a"/>
    <w:next w:val="a"/>
    <w:qFormat/>
    <w:rsid w:val="008D640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D640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D640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D640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D640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D640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D640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D640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D640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2022-03-01T07:42:00Z</dcterms:created>
  <dcterms:modified xsi:type="dcterms:W3CDTF">2022-03-01T07:57:00Z</dcterms:modified>
</cp:coreProperties>
</file>